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7BC15192" w:rsidR="00C47E65" w:rsidRPr="00723EFA" w:rsidRDefault="00C47E65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723EFA">
        <w:rPr>
          <w:rFonts w:cs="Calibri"/>
          <w:i/>
        </w:rPr>
        <w:t xml:space="preserve">Załącznik do KARTY OCENY ZAŁOŻEŃ PROJEKTU INFORMATYCZNEGO NR </w:t>
      </w:r>
      <w:r w:rsidR="00EB603D" w:rsidRPr="00723EFA">
        <w:rPr>
          <w:rFonts w:cs="Calibri"/>
          <w:i/>
        </w:rPr>
        <w:t>P46</w:t>
      </w:r>
      <w:r w:rsidR="0089242B" w:rsidRPr="00723EFA">
        <w:rPr>
          <w:rFonts w:cs="Calibri"/>
          <w:i/>
        </w:rPr>
        <w:t>2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075"/>
        <w:gridCol w:w="1748"/>
        <w:gridCol w:w="6562"/>
        <w:gridCol w:w="2268"/>
        <w:gridCol w:w="3260"/>
      </w:tblGrid>
      <w:tr w:rsidR="0089242B" w:rsidRPr="00723EFA" w14:paraId="675A3F44" w14:textId="77777777" w:rsidTr="0089242B">
        <w:trPr>
          <w:trHeight w:val="795"/>
        </w:trPr>
        <w:tc>
          <w:tcPr>
            <w:tcW w:w="15446" w:type="dxa"/>
            <w:gridSpan w:val="6"/>
            <w:shd w:val="clear" w:color="auto" w:fill="auto"/>
            <w:vAlign w:val="center"/>
          </w:tcPr>
          <w:p w14:paraId="0E5B806B" w14:textId="586E43B7" w:rsidR="0089242B" w:rsidRPr="00723EFA" w:rsidRDefault="0089242B" w:rsidP="0089242B">
            <w:pPr>
              <w:spacing w:before="120" w:after="120" w:line="259" w:lineRule="auto"/>
              <w:rPr>
                <w:rFonts w:ascii="Calibri" w:eastAsia="Aptos" w:hAnsi="Calibri" w:cs="Calibri"/>
                <w:bCs/>
                <w:i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i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Nazwa dokumentu: </w:t>
            </w:r>
            <w:r w:rsidRPr="00723EFA">
              <w:rPr>
                <w:rFonts w:ascii="Calibri" w:eastAsia="Aptos" w:hAnsi="Calibri" w:cs="Calibri"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opis założeń projektu pn. „</w:t>
            </w:r>
            <w:r w:rsidRPr="00723EFA">
              <w:rPr>
                <w:rFonts w:ascii="Calibri" w:eastAsia="Aptos" w:hAnsi="Calibri" w:cs="Calibri"/>
                <w:b/>
                <w:i/>
                <w:kern w:val="2"/>
                <w:sz w:val="22"/>
                <w:szCs w:val="22"/>
                <w:lang w:eastAsia="en-US"/>
                <w14:ligatures w14:val="standardContextual"/>
              </w:rPr>
              <w:t>Opracowanie i wdrożenie e-usług dotyczących wybranych procesów biznesowych w zakresie obsługi zgód wodnoprawnych i opłat za usługi wodne</w:t>
            </w:r>
            <w:r w:rsidRPr="00723EFA">
              <w:rPr>
                <w:rFonts w:ascii="Calibri" w:eastAsia="Aptos" w:hAnsi="Calibri" w:cs="Calibri"/>
                <w:bCs/>
                <w:i/>
                <w:kern w:val="2"/>
                <w:sz w:val="22"/>
                <w:szCs w:val="22"/>
                <w:lang w:eastAsia="en-US"/>
                <w14:ligatures w14:val="standardContextual"/>
              </w:rPr>
              <w:t>”</w:t>
            </w:r>
            <w:r w:rsidRPr="00723EFA">
              <w:rPr>
                <w:rFonts w:ascii="Calibri" w:eastAsia="Aptos" w:hAnsi="Calibri" w:cs="Calibri"/>
                <w:b/>
                <w:i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– </w:t>
            </w:r>
            <w:r w:rsidRPr="00723EFA">
              <w:rPr>
                <w:rFonts w:ascii="Calibri" w:eastAsia="Aptos" w:hAnsi="Calibri" w:cs="Calibri"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wnioskodawca: Minister Infrastruktury, beneficjent: Państwowe Gospodarstwo Wodne Wody Polskie</w:t>
            </w:r>
          </w:p>
        </w:tc>
      </w:tr>
      <w:tr w:rsidR="0089242B" w:rsidRPr="00723EFA" w14:paraId="09D9EFB6" w14:textId="77777777" w:rsidTr="00EF4992">
        <w:trPr>
          <w:trHeight w:val="1576"/>
        </w:trPr>
        <w:tc>
          <w:tcPr>
            <w:tcW w:w="533" w:type="dxa"/>
            <w:shd w:val="clear" w:color="auto" w:fill="auto"/>
            <w:vAlign w:val="center"/>
          </w:tcPr>
          <w:p w14:paraId="0C3A0EF7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2A5CC57E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Organ wnoszący uwagi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411293F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redakcyjna, do której wnoszone są uwagi</w:t>
            </w:r>
          </w:p>
        </w:tc>
        <w:tc>
          <w:tcPr>
            <w:tcW w:w="6562" w:type="dxa"/>
            <w:shd w:val="clear" w:color="auto" w:fill="auto"/>
            <w:vAlign w:val="center"/>
          </w:tcPr>
          <w:p w14:paraId="616831BF" w14:textId="77777777" w:rsidR="0089242B" w:rsidRPr="00723EFA" w:rsidRDefault="0089242B" w:rsidP="0089242B">
            <w:pPr>
              <w:spacing w:after="160" w:line="259" w:lineRule="auto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4960BF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Propozycja zmian zapisu</w:t>
            </w:r>
          </w:p>
        </w:tc>
        <w:tc>
          <w:tcPr>
            <w:tcW w:w="3260" w:type="dxa"/>
            <w:vAlign w:val="center"/>
          </w:tcPr>
          <w:p w14:paraId="1B1182F7" w14:textId="77777777" w:rsidR="0089242B" w:rsidRPr="00723EFA" w:rsidRDefault="0089242B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Odniesienie do uwagi</w:t>
            </w:r>
          </w:p>
        </w:tc>
      </w:tr>
      <w:tr w:rsidR="0089242B" w:rsidRPr="00723EFA" w14:paraId="2486CF4B" w14:textId="77777777" w:rsidTr="00EF4992">
        <w:trPr>
          <w:trHeight w:val="2151"/>
        </w:trPr>
        <w:tc>
          <w:tcPr>
            <w:tcW w:w="533" w:type="dxa"/>
            <w:shd w:val="clear" w:color="auto" w:fill="auto"/>
          </w:tcPr>
          <w:p w14:paraId="08CDD284" w14:textId="77777777" w:rsidR="0089242B" w:rsidRPr="00723EFA" w:rsidRDefault="0089242B" w:rsidP="0089242B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5B11CAAC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54991594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1.1. Identyfikacja problemu i potrzeb</w:t>
            </w:r>
          </w:p>
        </w:tc>
        <w:tc>
          <w:tcPr>
            <w:tcW w:w="6562" w:type="dxa"/>
            <w:shd w:val="clear" w:color="auto" w:fill="auto"/>
          </w:tcPr>
          <w:p w14:paraId="0FDDBA97" w14:textId="77777777" w:rsidR="0089242B" w:rsidRPr="00723EFA" w:rsidRDefault="0089242B" w:rsidP="0089242B">
            <w:pPr>
              <w:spacing w:after="160" w:line="259" w:lineRule="auto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 opisie zawarto informację że: „PGW WP nie posiada narzędzia które umożliwiałoby kompleksową obsługę i zarządzanie kluczowymi procesami. Również dane źródłowe wykorzystywane w realizacji tych procesów są rozproszone w różnych systemach dziedzinowych, co powoduje konieczność wielokrotnego wprowadzania lub odwoływania się do tych samych danych.” Nie ma informacji gdzie obecnie są te „same dane” i w jakich rozproszonych systemach.  Czy są to systemy które są na diagramie kooperacji czy inne, a jeżeli tak czy zostaną zmigrowane/ zintegrowane do systemu eWody 2.0?</w:t>
            </w:r>
          </w:p>
        </w:tc>
        <w:tc>
          <w:tcPr>
            <w:tcW w:w="2268" w:type="dxa"/>
            <w:shd w:val="clear" w:color="auto" w:fill="auto"/>
          </w:tcPr>
          <w:p w14:paraId="484BF4F1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wyjaśnienie lub  analizę i korektę opisu założeń</w:t>
            </w:r>
          </w:p>
        </w:tc>
        <w:tc>
          <w:tcPr>
            <w:tcW w:w="3260" w:type="dxa"/>
          </w:tcPr>
          <w:p w14:paraId="70CED758" w14:textId="77777777" w:rsidR="00555F0B" w:rsidRPr="00723EFA" w:rsidRDefault="00555F0B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Wyjaśnienie:</w:t>
            </w:r>
          </w:p>
          <w:p w14:paraId="2500A356" w14:textId="1BA94BA2" w:rsidR="0089242B" w:rsidRPr="00723EFA" w:rsidRDefault="00EF4992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Dane nt. wydanych zgód wodnoprawnych wprowadzane są do systemu ISOK. Ponadto pracownicy przy wydawaniu decyzji 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dot. zgód 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korzystają często z lokalnych baz danych, które zawierają również dane historyczne. Dane z tych 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baz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są sukcesywnie migrowane do systemu ISOK i docelowo przestaną funkcjonować w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Wodach Polskich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zięki integracji eWody 2.0 z ISOK rejestry danych dot. zgód wodnoprawnych będą zasilane automatycznie danymi z wydanych zgód wodnoprawnych. Dodatkowo Pracownicy wspomagają się ogólnodostępnymi serwisami takimi jak KRS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, REGON, CIDG, z którymi system eWody zostanie zintegrowany.</w:t>
            </w:r>
          </w:p>
        </w:tc>
      </w:tr>
      <w:tr w:rsidR="0089242B" w:rsidRPr="00723EFA" w14:paraId="6EC404E2" w14:textId="77777777" w:rsidTr="00EF4992">
        <w:trPr>
          <w:trHeight w:val="1856"/>
        </w:trPr>
        <w:tc>
          <w:tcPr>
            <w:tcW w:w="533" w:type="dxa"/>
            <w:shd w:val="clear" w:color="auto" w:fill="auto"/>
          </w:tcPr>
          <w:p w14:paraId="62CB3ACC" w14:textId="77777777" w:rsidR="0089242B" w:rsidRPr="00723EFA" w:rsidRDefault="0089242B" w:rsidP="0089242B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299B9A0C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51719474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1.1. Identyfikacja problemu i potrzeb</w:t>
            </w:r>
          </w:p>
        </w:tc>
        <w:tc>
          <w:tcPr>
            <w:tcW w:w="6562" w:type="dxa"/>
            <w:shd w:val="clear" w:color="auto" w:fill="auto"/>
          </w:tcPr>
          <w:p w14:paraId="0D58F4AB" w14:textId="77777777" w:rsidR="0089242B" w:rsidRPr="00723EFA" w:rsidRDefault="0089242B" w:rsidP="0089242B">
            <w:pPr>
              <w:spacing w:after="160" w:line="259" w:lineRule="auto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 opisie zawarto informację że: „brak narzędzi pełniących funkcję repozytorium do ustandaryzowanych, kompletnych, aktualnych oraz historycznych danych dotyczących wszystkich oświadczeń, informacji, decyzji administracyjnych dotyczących opłat za usługi wodne;” Czy jest założenie że obecne aktualne oświadczenia, pozwolenia, decyzje zostaną zmigrowane do systemu eWody 2.0? Jeżeli tak to proszę o uwzględnienie tego w kamieniach milowych i diagramie kooperacji jeżeli są przechowywane elektronicznie.</w:t>
            </w:r>
          </w:p>
        </w:tc>
        <w:tc>
          <w:tcPr>
            <w:tcW w:w="2268" w:type="dxa"/>
            <w:shd w:val="clear" w:color="auto" w:fill="auto"/>
          </w:tcPr>
          <w:p w14:paraId="28AF0563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analizę i korektę opisu założeń</w:t>
            </w:r>
          </w:p>
        </w:tc>
        <w:tc>
          <w:tcPr>
            <w:tcW w:w="3260" w:type="dxa"/>
          </w:tcPr>
          <w:p w14:paraId="4A46C13F" w14:textId="77777777" w:rsidR="00195EAE" w:rsidRPr="00723EFA" w:rsidRDefault="00195EAE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Wyjaśnienie:</w:t>
            </w:r>
          </w:p>
          <w:p w14:paraId="5D6E6275" w14:textId="4F09C45F" w:rsidR="0089242B" w:rsidRPr="00723EFA" w:rsidRDefault="00195EAE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System eWody2.0 zostanie zintegrowany z systemem ISOK, który posiada rejestry danych obejmujące m.in. 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zgody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wodnoprawne. Nowa baza, która powstanie w ramach systemu eWody 2.0 będzie korzystać z tych danych</w:t>
            </w:r>
            <w:r w:rsidR="00DF13BC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. Ze względu, że dokumentacja dot. opłat za usługi wodne była dotychczas prowadzona w papierowej formie Beneficjent nie planuje migracji w tym zakresie. Dane dot. opłat będą gromadzone elektronicznie  od momentu uruchomienia systemu.</w:t>
            </w:r>
          </w:p>
        </w:tc>
      </w:tr>
      <w:tr w:rsidR="0089242B" w:rsidRPr="00723EFA" w14:paraId="78934FA0" w14:textId="77777777" w:rsidTr="00EF4992">
        <w:trPr>
          <w:trHeight w:val="1738"/>
        </w:trPr>
        <w:tc>
          <w:tcPr>
            <w:tcW w:w="533" w:type="dxa"/>
            <w:shd w:val="clear" w:color="auto" w:fill="auto"/>
          </w:tcPr>
          <w:p w14:paraId="70FC3EE5" w14:textId="77777777" w:rsidR="0089242B" w:rsidRPr="00723EFA" w:rsidRDefault="0089242B" w:rsidP="0089242B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1805CD82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31A9A083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1.2. Opis stanu obecnego</w:t>
            </w:r>
          </w:p>
        </w:tc>
        <w:tc>
          <w:tcPr>
            <w:tcW w:w="6562" w:type="dxa"/>
            <w:shd w:val="clear" w:color="auto" w:fill="auto"/>
          </w:tcPr>
          <w:p w14:paraId="537F827A" w14:textId="77777777" w:rsidR="0089242B" w:rsidRPr="00723EFA" w:rsidRDefault="0089242B" w:rsidP="0089242B">
            <w:pPr>
              <w:spacing w:after="160" w:line="259" w:lineRule="auto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 opisie stanu obecnego: „PGW WP przejęło portale i systemy informatyczne, które przed reformą gospodarki wodnej w 2018 r. stanowiły własność m.in. KZGW, RZGW oraz WZMiUW.”</w:t>
            </w:r>
          </w:p>
          <w:p w14:paraId="5DBD67B2" w14:textId="77777777" w:rsidR="0089242B" w:rsidRPr="00723EFA" w:rsidRDefault="0089242B" w:rsidP="0089242B">
            <w:pPr>
              <w:spacing w:after="160" w:line="259" w:lineRule="auto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Co z tymi systemami po wprowadzeniu eWody 2.0 które zostają które zostaną wycofane czy ma to ma wpływ?</w:t>
            </w:r>
          </w:p>
        </w:tc>
        <w:tc>
          <w:tcPr>
            <w:tcW w:w="2268" w:type="dxa"/>
            <w:shd w:val="clear" w:color="auto" w:fill="auto"/>
          </w:tcPr>
          <w:p w14:paraId="46400EA6" w14:textId="77777777" w:rsidR="0089242B" w:rsidRPr="00723EFA" w:rsidRDefault="0089242B" w:rsidP="0089242B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wyjaśnienie</w:t>
            </w:r>
          </w:p>
        </w:tc>
        <w:tc>
          <w:tcPr>
            <w:tcW w:w="3260" w:type="dxa"/>
          </w:tcPr>
          <w:p w14:paraId="5151A34B" w14:textId="77777777" w:rsidR="00195EAE" w:rsidRPr="00723EFA" w:rsidRDefault="00195EAE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Wyjaśnienie:</w:t>
            </w:r>
          </w:p>
          <w:p w14:paraId="1D99F658" w14:textId="48804F87" w:rsidR="0089242B" w:rsidRPr="00723EFA" w:rsidRDefault="00555F0B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Przytoczne w uwadze zdanie</w:t>
            </w:r>
            <w:r w:rsidR="00D525E6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 systemach </w:t>
            </w:r>
            <w:r w:rsidR="00D525E6"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KZGW, RZGW oraz WZMiUW</w:t>
            </w:r>
            <w:r w:rsidR="00195EAE"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było </w:t>
            </w:r>
            <w:r w:rsidR="00D525E6"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wyłącznie informacją pokazującą tło historyczne.</w:t>
            </w:r>
          </w:p>
          <w:p w14:paraId="227EE13B" w14:textId="0CEB1D1C" w:rsidR="005E3D55" w:rsidRPr="00723EFA" w:rsidRDefault="005E3D55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Dokonano korekty OZPI poprzez usunięcie </w:t>
            </w:r>
            <w:r w:rsidR="00E10A83"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zbędnych informacji.</w:t>
            </w:r>
          </w:p>
        </w:tc>
      </w:tr>
      <w:tr w:rsidR="00CE5693" w:rsidRPr="00723EFA" w14:paraId="726AD081" w14:textId="77777777" w:rsidTr="00EF4992">
        <w:trPr>
          <w:trHeight w:val="559"/>
        </w:trPr>
        <w:tc>
          <w:tcPr>
            <w:tcW w:w="533" w:type="dxa"/>
            <w:shd w:val="clear" w:color="auto" w:fill="auto"/>
          </w:tcPr>
          <w:p w14:paraId="466299FF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4FBAA2A1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45FDCFE8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2.1. Cele i korzyści wynikające z projektu</w:t>
            </w:r>
          </w:p>
        </w:tc>
        <w:tc>
          <w:tcPr>
            <w:tcW w:w="6562" w:type="dxa"/>
            <w:shd w:val="clear" w:color="auto" w:fill="auto"/>
          </w:tcPr>
          <w:p w14:paraId="351DD3D2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W celu projektu wskazano, że w projekcie planuje się budowanie usług wspierających zgody wodnoprawne. Brak informacji o tym, jakie aspekty automatyzacji pozostają nadal niezautomatyzowane. Czy „pozwolenia wodnoprawne, oświadczenia” też są zawarte w usłudze którą Państwo wskazali  „zgody wodnoprawne”? Obecnie są tylko 3 wskazane usługi.</w:t>
            </w:r>
          </w:p>
        </w:tc>
        <w:tc>
          <w:tcPr>
            <w:tcW w:w="2268" w:type="dxa"/>
            <w:shd w:val="clear" w:color="auto" w:fill="auto"/>
          </w:tcPr>
          <w:p w14:paraId="5453DF47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wyjaśnienie</w:t>
            </w:r>
          </w:p>
        </w:tc>
        <w:tc>
          <w:tcPr>
            <w:tcW w:w="3260" w:type="dxa"/>
          </w:tcPr>
          <w:p w14:paraId="2C09EFF0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Wyjaśnienie:</w:t>
            </w:r>
          </w:p>
          <w:p w14:paraId="30A98547" w14:textId="1E0A1DCD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Pozwolenie wodnoprawne jest jednym z typów zgody wodnoprawnej i zawiera się w usłudze „Zgody wodnoprawne”. Beneficjent planuje jak najszerszą </w:t>
            </w: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automatyzację całego procesu dot. zgód wodnoprawnych np. poprzez dynamiczne formularze wniosków czy przygotowanie szablonów decyzji, które będą automatycznie zasilane danymi z wniosku. Niezautomatyzowane pozostają złożone kwestie interpretacyjne, dla których analizę musi wykonać Pracownik Wód Polskich, jak np. ocena prawidłowości wykonania operatu wodnoprawnego, który jest jednym z załączników do wniosku o wydanie zgody wodnoprawnej.</w:t>
            </w:r>
          </w:p>
        </w:tc>
      </w:tr>
      <w:tr w:rsidR="00CE5693" w:rsidRPr="00723EFA" w14:paraId="126544AF" w14:textId="77777777" w:rsidTr="00EF4992">
        <w:trPr>
          <w:trHeight w:val="141"/>
        </w:trPr>
        <w:tc>
          <w:tcPr>
            <w:tcW w:w="533" w:type="dxa"/>
            <w:shd w:val="clear" w:color="auto" w:fill="auto"/>
          </w:tcPr>
          <w:p w14:paraId="06CDCB4B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1FFCBB6A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3DAE89B4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2.4 Produkty końcowe projektu</w:t>
            </w:r>
          </w:p>
        </w:tc>
        <w:tc>
          <w:tcPr>
            <w:tcW w:w="6562" w:type="dxa"/>
            <w:shd w:val="clear" w:color="auto" w:fill="auto"/>
          </w:tcPr>
          <w:p w14:paraId="6BE5A112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 ramach produktów wskazano słusznie „Raport testów wydajności” , „Raport z testów bezpieczeństwa”. Jednak w projekcie jako produkty końcowe powinny być wskazane pozytywne raporty z ww. testów .</w:t>
            </w:r>
          </w:p>
        </w:tc>
        <w:tc>
          <w:tcPr>
            <w:tcW w:w="2268" w:type="dxa"/>
            <w:shd w:val="clear" w:color="auto" w:fill="auto"/>
          </w:tcPr>
          <w:p w14:paraId="636111D8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Proszę o analizę i korektę opisu założeń </w:t>
            </w:r>
          </w:p>
        </w:tc>
        <w:tc>
          <w:tcPr>
            <w:tcW w:w="3260" w:type="dxa"/>
          </w:tcPr>
          <w:p w14:paraId="13430E8D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1DF6714C" w14:textId="785C22BA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Zmieniono nazwy dwóch produktów na: „Raport z pozytywnych testów bezpieczeństwa” oraz „Raport z pozytywnych testów wydajności”</w:t>
            </w:r>
          </w:p>
        </w:tc>
      </w:tr>
      <w:tr w:rsidR="00CE5693" w:rsidRPr="00723EFA" w14:paraId="71998050" w14:textId="77777777" w:rsidTr="00EF4992">
        <w:trPr>
          <w:trHeight w:val="141"/>
        </w:trPr>
        <w:tc>
          <w:tcPr>
            <w:tcW w:w="533" w:type="dxa"/>
            <w:shd w:val="clear" w:color="auto" w:fill="auto"/>
          </w:tcPr>
          <w:p w14:paraId="52089968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2EF20E96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1726683C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2.4 Produkty końcowe projektu</w:t>
            </w:r>
          </w:p>
        </w:tc>
        <w:tc>
          <w:tcPr>
            <w:tcW w:w="6562" w:type="dxa"/>
            <w:shd w:val="clear" w:color="auto" w:fill="auto"/>
          </w:tcPr>
          <w:p w14:paraId="4E3635AC" w14:textId="023A453F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 ramach produktów nie wymieniono materiałów szkoleniowych a tylko informacyjno-promocyjne. Natomiast szkolenie jest wymienione wśród kosztów.</w:t>
            </w:r>
          </w:p>
        </w:tc>
        <w:tc>
          <w:tcPr>
            <w:tcW w:w="2268" w:type="dxa"/>
            <w:shd w:val="clear" w:color="auto" w:fill="auto"/>
          </w:tcPr>
          <w:p w14:paraId="10B5F196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analizę i korektę opisu założeń lub wyjaśnienie</w:t>
            </w:r>
          </w:p>
        </w:tc>
        <w:tc>
          <w:tcPr>
            <w:tcW w:w="3260" w:type="dxa"/>
          </w:tcPr>
          <w:p w14:paraId="33A09274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2F01C2C3" w14:textId="6E82879B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Dodano produkt „Materiały szkoleniowe”</w:t>
            </w:r>
          </w:p>
        </w:tc>
      </w:tr>
      <w:tr w:rsidR="00CE5693" w:rsidRPr="00723EFA" w14:paraId="1E6DC178" w14:textId="77777777" w:rsidTr="00EF4992">
        <w:trPr>
          <w:trHeight w:val="141"/>
        </w:trPr>
        <w:tc>
          <w:tcPr>
            <w:tcW w:w="533" w:type="dxa"/>
            <w:shd w:val="clear" w:color="auto" w:fill="auto"/>
          </w:tcPr>
          <w:p w14:paraId="28DC7639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2CB0379C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7F521969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4.2. Wykaz poszczególnych pozycji kosztowych</w:t>
            </w:r>
          </w:p>
        </w:tc>
        <w:tc>
          <w:tcPr>
            <w:tcW w:w="6562" w:type="dxa"/>
            <w:shd w:val="clear" w:color="auto" w:fill="auto"/>
          </w:tcPr>
          <w:p w14:paraId="0BA5C4C3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„Wydajności rozwiązań" jest brak informacji. </w:t>
            </w:r>
          </w:p>
          <w:p w14:paraId="717A2ACE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 zakresie pozycji kosztowych:</w:t>
            </w:r>
          </w:p>
          <w:p w14:paraId="76C902FD" w14:textId="77777777" w:rsidR="00CE5693" w:rsidRPr="00723EFA" w:rsidRDefault="00CE5693" w:rsidP="00CE5693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„Wydajność rozwiązań" należy wykazać koszty np. testów wydajnościowych, niezależnie </w:t>
            </w:r>
          </w:p>
          <w:p w14:paraId="3353C163" w14:textId="787A2DC1" w:rsidR="00CE5693" w:rsidRPr="00723EFA" w:rsidRDefault="00CE5693" w:rsidP="00225900">
            <w:pPr>
              <w:spacing w:after="160" w:line="259" w:lineRule="auto"/>
              <w:ind w:left="360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od tego. czy test taki prowadzony jest przez zespół wewnętrzny projektu czy zewnętrzny; aspekt szczególnie istotny w przypadku projektów związanych z digitalizacją lub udostępnianiem informacji/zasobów.</w:t>
            </w:r>
          </w:p>
          <w:p w14:paraId="2F2EC324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Brak informacji o szacowanym koszcie  „Wydajności rozwiązań".</w:t>
            </w:r>
          </w:p>
        </w:tc>
        <w:tc>
          <w:tcPr>
            <w:tcW w:w="2268" w:type="dxa"/>
            <w:shd w:val="clear" w:color="auto" w:fill="auto"/>
          </w:tcPr>
          <w:p w14:paraId="3000FD31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Proszę o analizę i korektę opisu założeń</w:t>
            </w:r>
          </w:p>
        </w:tc>
        <w:tc>
          <w:tcPr>
            <w:tcW w:w="3260" w:type="dxa"/>
          </w:tcPr>
          <w:p w14:paraId="0923599B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30FE14B9" w14:textId="1C882476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Skorygowano OZPI wyodrębniając pozycję kosztową „Wydajność rozwiązań”</w:t>
            </w:r>
          </w:p>
        </w:tc>
      </w:tr>
      <w:tr w:rsidR="00CE5693" w:rsidRPr="00723EFA" w14:paraId="489A231C" w14:textId="77777777" w:rsidTr="00EF4992">
        <w:trPr>
          <w:trHeight w:val="559"/>
        </w:trPr>
        <w:tc>
          <w:tcPr>
            <w:tcW w:w="533" w:type="dxa"/>
            <w:shd w:val="clear" w:color="auto" w:fill="auto"/>
          </w:tcPr>
          <w:p w14:paraId="73A3DE46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709320C8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575D9483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4.3 Koszty utrzymania</w:t>
            </w:r>
          </w:p>
        </w:tc>
        <w:tc>
          <w:tcPr>
            <w:tcW w:w="6562" w:type="dxa"/>
            <w:shd w:val="clear" w:color="auto" w:fill="auto"/>
          </w:tcPr>
          <w:p w14:paraId="3C17492C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 opisie  uwzględniono koszty ogólne utrzymania w latach 2029-2032 bez uwzględnienia inflacji. Koszt 2032 znacząco odbiega od pozostałych kosztów w poprzednich latach.</w:t>
            </w:r>
          </w:p>
        </w:tc>
        <w:tc>
          <w:tcPr>
            <w:tcW w:w="2268" w:type="dxa"/>
            <w:shd w:val="clear" w:color="auto" w:fill="auto"/>
          </w:tcPr>
          <w:p w14:paraId="645EDFD2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wyjaśnienie opisu założeń</w:t>
            </w:r>
          </w:p>
        </w:tc>
        <w:tc>
          <w:tcPr>
            <w:tcW w:w="3260" w:type="dxa"/>
          </w:tcPr>
          <w:p w14:paraId="17F46BB9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26BD5607" w14:textId="4DFF198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Skorygowano koszty utrzymania w całym okresie trwałości projektu</w:t>
            </w:r>
          </w:p>
        </w:tc>
      </w:tr>
      <w:tr w:rsidR="00CE5693" w:rsidRPr="00723EFA" w14:paraId="46C4EBC1" w14:textId="77777777" w:rsidTr="00EF4992">
        <w:trPr>
          <w:trHeight w:val="141"/>
        </w:trPr>
        <w:tc>
          <w:tcPr>
            <w:tcW w:w="533" w:type="dxa"/>
            <w:shd w:val="clear" w:color="auto" w:fill="auto"/>
          </w:tcPr>
          <w:p w14:paraId="5C41B778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60286FAD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0A512E12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7.1 Lista systemów wykorzystywanych w projekcie</w:t>
            </w:r>
          </w:p>
        </w:tc>
        <w:tc>
          <w:tcPr>
            <w:tcW w:w="6562" w:type="dxa"/>
            <w:shd w:val="clear" w:color="auto" w:fill="auto"/>
          </w:tcPr>
          <w:p w14:paraId="6761236E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 liście systemów wykorzystywanych w projekcie system: ISOK ma status Modyfikowany natomiast na diagramie kooperacji ma status istniejący i planowane są integracje z tym systemem. </w:t>
            </w:r>
          </w:p>
        </w:tc>
        <w:tc>
          <w:tcPr>
            <w:tcW w:w="2268" w:type="dxa"/>
            <w:shd w:val="clear" w:color="auto" w:fill="auto"/>
          </w:tcPr>
          <w:p w14:paraId="14992A53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analizę i korektę opisu założeń</w:t>
            </w:r>
          </w:p>
        </w:tc>
        <w:tc>
          <w:tcPr>
            <w:tcW w:w="3260" w:type="dxa"/>
          </w:tcPr>
          <w:p w14:paraId="0F2CF11B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52F97330" w14:textId="6C8A0A26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Skorygowano pomyłkę. System ISOK powinien posiadać status „istniejący”</w:t>
            </w:r>
          </w:p>
        </w:tc>
      </w:tr>
      <w:tr w:rsidR="00CE5693" w:rsidRPr="00723EFA" w14:paraId="1BC05841" w14:textId="77777777" w:rsidTr="00EF4992">
        <w:trPr>
          <w:trHeight w:val="141"/>
        </w:trPr>
        <w:tc>
          <w:tcPr>
            <w:tcW w:w="533" w:type="dxa"/>
            <w:shd w:val="clear" w:color="auto" w:fill="auto"/>
          </w:tcPr>
          <w:p w14:paraId="0B95137F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7119B471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022C53EE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7.1. Widok kooperacji aplikacji</w:t>
            </w:r>
          </w:p>
        </w:tc>
        <w:tc>
          <w:tcPr>
            <w:tcW w:w="6562" w:type="dxa"/>
            <w:shd w:val="clear" w:color="auto" w:fill="auto"/>
          </w:tcPr>
          <w:p w14:paraId="799C951E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 projekcie zaplanowano integracje z systemami podmiotów zewnętrznych.  W ramach interesariuszy wskazano przedsiębiorców:  dotyczy też JDG? -   czy Integracja będzie tylko z KRS, REGON czy też z systemem CEIDG? Co z systemami w których obecnie są przechowywane informacje w rożnych systemach dziedzinowych jak wskazano w uwagach  1.1. identyfikacji problemu, </w:t>
            </w: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1.2. Opis stanu obecnego</w:t>
            </w:r>
          </w:p>
        </w:tc>
        <w:tc>
          <w:tcPr>
            <w:tcW w:w="2268" w:type="dxa"/>
            <w:shd w:val="clear" w:color="auto" w:fill="auto"/>
          </w:tcPr>
          <w:p w14:paraId="0711A0EE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potwierdzenie współpracy z podmiotami, z którymi integrowany będzie system eWody</w:t>
            </w:r>
          </w:p>
        </w:tc>
        <w:tc>
          <w:tcPr>
            <w:tcW w:w="3260" w:type="dxa"/>
          </w:tcPr>
          <w:p w14:paraId="1CB9A7C3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0D6393A5" w14:textId="35F1F328" w:rsidR="00CE5693" w:rsidRPr="00723EFA" w:rsidRDefault="00723EFA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Uz</w:t>
            </w:r>
            <w:r w:rsidR="00CE5693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upełni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ono OZPI w zakresie</w:t>
            </w:r>
            <w:r w:rsidR="00CE5693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integracj</w:t>
            </w:r>
            <w:r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i</w:t>
            </w:r>
            <w:r w:rsidR="00CE5693"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systemem CEiDG</w:t>
            </w:r>
          </w:p>
          <w:p w14:paraId="620A9546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Wyjaśnienie:</w:t>
            </w:r>
          </w:p>
          <w:p w14:paraId="2945D309" w14:textId="59BFD55A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Zagadnienie integracji z innymi systemami dziedzinowymi Wnioskodawcy wyjaśniono w ramach uwagi nr 1 i 2</w:t>
            </w:r>
          </w:p>
          <w:p w14:paraId="4A578CC6" w14:textId="47B82ED2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CE5693" w:rsidRPr="00723EFA" w14:paraId="49713CC7" w14:textId="77777777" w:rsidTr="00EF4992">
        <w:trPr>
          <w:trHeight w:val="990"/>
        </w:trPr>
        <w:tc>
          <w:tcPr>
            <w:tcW w:w="533" w:type="dxa"/>
            <w:shd w:val="clear" w:color="auto" w:fill="auto"/>
          </w:tcPr>
          <w:p w14:paraId="3D0684AA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3E1C3970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5BD442B2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7.1. Widok kooperacji aplikacji</w:t>
            </w:r>
          </w:p>
        </w:tc>
        <w:tc>
          <w:tcPr>
            <w:tcW w:w="6562" w:type="dxa"/>
            <w:shd w:val="clear" w:color="auto" w:fill="auto"/>
          </w:tcPr>
          <w:p w14:paraId="790F8BAA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W liście przepływów należy wskazać typ interfejsu, przykładami są:</w:t>
            </w:r>
          </w:p>
          <w:p w14:paraId="646DF344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usługa REST</w:t>
            </w:r>
          </w:p>
          <w:p w14:paraId="691A50F1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usługa EJB</w:t>
            </w:r>
          </w:p>
          <w:p w14:paraId="31A01434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usługa WWW</w:t>
            </w:r>
          </w:p>
          <w:p w14:paraId="6533E2E2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usługa JSON</w:t>
            </w:r>
          </w:p>
          <w:p w14:paraId="1293E9B2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usługa ODBC</w:t>
            </w:r>
          </w:p>
          <w:p w14:paraId="4F79133A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protokół SOAP</w:t>
            </w:r>
          </w:p>
          <w:p w14:paraId="72E36F6F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protokół SAML</w:t>
            </w:r>
          </w:p>
          <w:p w14:paraId="1A36ED96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protokół AS2</w:t>
            </w:r>
          </w:p>
          <w:p w14:paraId="48455B80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protokół SFTP</w:t>
            </w:r>
          </w:p>
          <w:p w14:paraId="27D40655" w14:textId="77777777" w:rsidR="00CE5693" w:rsidRPr="00723EFA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format wymiany danych ETS4</w:t>
            </w:r>
          </w:p>
          <w:p w14:paraId="050F3601" w14:textId="134FD3B9" w:rsidR="00CE5693" w:rsidRPr="00225900" w:rsidRDefault="00CE5693" w:rsidP="00CE5693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format wymiany danych xml.</w:t>
            </w:r>
          </w:p>
          <w:p w14:paraId="33978A46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Wymiana danych powinna odbywać się za pośrednictwem usług sieciowych, tj. usług oferowanych przez rozwiązanie IT innemu rozwiązaniu IT, gdy urządzenia te komunikują się przez sieć. </w:t>
            </w:r>
          </w:p>
          <w:p w14:paraId="57A064F6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Usługi sieciowe umożliwiają przekazywanie ustrukturyzowanych danych (tak aby mogły być interpretowane bezpośrednio i jawnie przez systemy odbiorców danych) za pośrednictwem różnych protokołów i innych rozwiązań, w tym:</w:t>
            </w:r>
          </w:p>
          <w:p w14:paraId="3F4E20C9" w14:textId="77777777" w:rsidR="00CE5693" w:rsidRPr="00723EFA" w:rsidRDefault="00CE5693" w:rsidP="00CE5693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udostępnianie usług API online, </w:t>
            </w:r>
          </w:p>
          <w:p w14:paraId="334C9CAE" w14:textId="77777777" w:rsidR="00CE5693" w:rsidRPr="00723EFA" w:rsidRDefault="00CE5693" w:rsidP="00CE5693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udostępnienia danych przez różne mechanizmy składowania danych (np. serwery http, ftp, dedykowane rozwiązania chmurowe),</w:t>
            </w:r>
          </w:p>
          <w:p w14:paraId="1D239B00" w14:textId="77777777" w:rsidR="00CE5693" w:rsidRPr="00723EFA" w:rsidRDefault="00CE5693" w:rsidP="00CE5693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publikacja informacji o zdarzeniach.</w:t>
            </w:r>
          </w:p>
          <w:p w14:paraId="79FE1607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Usługi sieciowe REST powinny być zgodne z zasadami i regułami opisanymi w dokumencie „Standard API” stanowiącym załącznik nr 3 do Uchwały nr 28 Rady Ministrów z dnia 18 lutego 2021 r. w sprawie Programu otwierania danych na lata 2021-2027 (M.P. poz. 290).</w:t>
            </w:r>
          </w:p>
        </w:tc>
        <w:tc>
          <w:tcPr>
            <w:tcW w:w="2268" w:type="dxa"/>
            <w:shd w:val="clear" w:color="auto" w:fill="auto"/>
          </w:tcPr>
          <w:p w14:paraId="23A0123D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Proszę o analizę i korektę opisu założeń </w:t>
            </w:r>
          </w:p>
        </w:tc>
        <w:tc>
          <w:tcPr>
            <w:tcW w:w="3260" w:type="dxa"/>
          </w:tcPr>
          <w:p w14:paraId="7DC209BD" w14:textId="77777777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4EE88633" w14:textId="5C14B64C" w:rsidR="00CE5693" w:rsidRPr="00723EFA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Uzupełniono w liście przepływów typy interfejsów</w:t>
            </w:r>
          </w:p>
        </w:tc>
      </w:tr>
      <w:tr w:rsidR="00CE5693" w:rsidRPr="002311EC" w14:paraId="486BF16A" w14:textId="77777777" w:rsidTr="00EF4992">
        <w:trPr>
          <w:trHeight w:val="1724"/>
        </w:trPr>
        <w:tc>
          <w:tcPr>
            <w:tcW w:w="533" w:type="dxa"/>
            <w:shd w:val="clear" w:color="auto" w:fill="auto"/>
          </w:tcPr>
          <w:p w14:paraId="18356780" w14:textId="77777777" w:rsidR="00CE5693" w:rsidRPr="00723EFA" w:rsidRDefault="00CE5693" w:rsidP="00CE5693">
            <w:pPr>
              <w:numPr>
                <w:ilvl w:val="0"/>
                <w:numId w:val="3"/>
              </w:numPr>
              <w:spacing w:after="160" w:line="259" w:lineRule="auto"/>
              <w:ind w:left="113" w:firstLine="0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75" w:type="dxa"/>
            <w:shd w:val="clear" w:color="auto" w:fill="auto"/>
          </w:tcPr>
          <w:p w14:paraId="53D05EBC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 IT</w:t>
            </w:r>
          </w:p>
        </w:tc>
        <w:tc>
          <w:tcPr>
            <w:tcW w:w="1748" w:type="dxa"/>
            <w:shd w:val="clear" w:color="auto" w:fill="auto"/>
          </w:tcPr>
          <w:p w14:paraId="7BCF25D7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7.2 Kluczowe komponenty architektury rozwiązania</w:t>
            </w:r>
          </w:p>
          <w:p w14:paraId="54EB9740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562" w:type="dxa"/>
            <w:shd w:val="clear" w:color="auto" w:fill="auto"/>
          </w:tcPr>
          <w:p w14:paraId="6D164CB0" w14:textId="77777777" w:rsidR="00CE5693" w:rsidRPr="00723EFA" w:rsidRDefault="00CE5693" w:rsidP="00CE5693">
            <w:pPr>
              <w:spacing w:after="160" w:line="259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Jeżeli system eWody 2.0 będzie Planowany w projekcie to: Portal eWody 2.0 powinien być Planowany w projekcie a nie modyfikowany. Wcześniej nie wskazano że obecnie istnieje portal eWody 2.0 tylko hydroportal w ramach ISOK ( Informatyczny System Osłony Kraju)</w:t>
            </w:r>
          </w:p>
        </w:tc>
        <w:tc>
          <w:tcPr>
            <w:tcW w:w="2268" w:type="dxa"/>
            <w:shd w:val="clear" w:color="auto" w:fill="auto"/>
          </w:tcPr>
          <w:p w14:paraId="0B88DEFF" w14:textId="77777777" w:rsidR="00CE5693" w:rsidRPr="00723EFA" w:rsidRDefault="00CE5693" w:rsidP="00CE5693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Proszę o analizę i korektę opisu założeń</w:t>
            </w:r>
          </w:p>
        </w:tc>
        <w:tc>
          <w:tcPr>
            <w:tcW w:w="3260" w:type="dxa"/>
          </w:tcPr>
          <w:p w14:paraId="42FAE388" w14:textId="77777777" w:rsidR="00225900" w:rsidRPr="00723EFA" w:rsidRDefault="00225900" w:rsidP="00225900">
            <w:pPr>
              <w:spacing w:after="160" w:line="259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Uwaga uwzględniona w OZPI:</w:t>
            </w:r>
          </w:p>
          <w:p w14:paraId="1CDF9536" w14:textId="6D9F620C" w:rsidR="00CE5693" w:rsidRPr="002311EC" w:rsidRDefault="00CE5693" w:rsidP="00723EFA">
            <w:pPr>
              <w:spacing w:after="160" w:line="259" w:lineRule="auto"/>
              <w:jc w:val="center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3EFA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Skorygowano OZPI zgodnie z uwagą</w:t>
            </w:r>
          </w:p>
        </w:tc>
      </w:tr>
    </w:tbl>
    <w:p w14:paraId="721F22B2" w14:textId="77777777" w:rsidR="00C47E65" w:rsidRPr="002311EC" w:rsidRDefault="00C47E65" w:rsidP="008058CB">
      <w:pPr>
        <w:pStyle w:val="Akapitzlist"/>
        <w:ind w:left="0"/>
        <w:rPr>
          <w:rFonts w:cs="Calibri"/>
          <w:i/>
        </w:rPr>
      </w:pPr>
    </w:p>
    <w:sectPr w:rsidR="00C47E65" w:rsidRPr="002311EC" w:rsidSect="00C47E65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96A81" w14:textId="77777777" w:rsidR="00855355" w:rsidRDefault="00855355">
      <w:r>
        <w:separator/>
      </w:r>
    </w:p>
  </w:endnote>
  <w:endnote w:type="continuationSeparator" w:id="0">
    <w:p w14:paraId="07EA9DFC" w14:textId="77777777" w:rsidR="00855355" w:rsidRDefault="0085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57374" w14:textId="77777777" w:rsidR="00855355" w:rsidRDefault="00855355">
      <w:r>
        <w:separator/>
      </w:r>
    </w:p>
  </w:footnote>
  <w:footnote w:type="continuationSeparator" w:id="0">
    <w:p w14:paraId="4F8EA0FB" w14:textId="77777777" w:rsidR="00855355" w:rsidRDefault="00855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012812">
    <w:abstractNumId w:val="9"/>
  </w:num>
  <w:num w:numId="2" w16cid:durableId="172301857">
    <w:abstractNumId w:val="2"/>
  </w:num>
  <w:num w:numId="3" w16cid:durableId="385498058">
    <w:abstractNumId w:val="5"/>
  </w:num>
  <w:num w:numId="4" w16cid:durableId="1641569938">
    <w:abstractNumId w:val="1"/>
  </w:num>
  <w:num w:numId="5" w16cid:durableId="1180043311">
    <w:abstractNumId w:val="7"/>
  </w:num>
  <w:num w:numId="6" w16cid:durableId="460611733">
    <w:abstractNumId w:val="0"/>
  </w:num>
  <w:num w:numId="7" w16cid:durableId="1874998121">
    <w:abstractNumId w:val="4"/>
  </w:num>
  <w:num w:numId="8" w16cid:durableId="1916625811">
    <w:abstractNumId w:val="6"/>
  </w:num>
  <w:num w:numId="9" w16cid:durableId="1331178683">
    <w:abstractNumId w:val="8"/>
  </w:num>
  <w:num w:numId="10" w16cid:durableId="923800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31DBA"/>
    <w:rsid w:val="000443BA"/>
    <w:rsid w:val="00063989"/>
    <w:rsid w:val="00064204"/>
    <w:rsid w:val="000A0478"/>
    <w:rsid w:val="000A0CFE"/>
    <w:rsid w:val="000C5588"/>
    <w:rsid w:val="001103EA"/>
    <w:rsid w:val="00111247"/>
    <w:rsid w:val="001241C2"/>
    <w:rsid w:val="00125B9A"/>
    <w:rsid w:val="00127D6E"/>
    <w:rsid w:val="00142E47"/>
    <w:rsid w:val="00144CF9"/>
    <w:rsid w:val="00173481"/>
    <w:rsid w:val="0017496E"/>
    <w:rsid w:val="00190DE9"/>
    <w:rsid w:val="001924C5"/>
    <w:rsid w:val="001938A3"/>
    <w:rsid w:val="00195EAE"/>
    <w:rsid w:val="001A78C4"/>
    <w:rsid w:val="001B2C71"/>
    <w:rsid w:val="001B7643"/>
    <w:rsid w:val="001C41B1"/>
    <w:rsid w:val="001E2084"/>
    <w:rsid w:val="001E3BC6"/>
    <w:rsid w:val="00225900"/>
    <w:rsid w:val="0023107D"/>
    <w:rsid w:val="002311EC"/>
    <w:rsid w:val="002423FE"/>
    <w:rsid w:val="002455AB"/>
    <w:rsid w:val="00251589"/>
    <w:rsid w:val="00260A21"/>
    <w:rsid w:val="002701BA"/>
    <w:rsid w:val="002A3758"/>
    <w:rsid w:val="002A5AC7"/>
    <w:rsid w:val="002B1BDD"/>
    <w:rsid w:val="002B6256"/>
    <w:rsid w:val="002C42D4"/>
    <w:rsid w:val="002E5A0D"/>
    <w:rsid w:val="00300919"/>
    <w:rsid w:val="00316901"/>
    <w:rsid w:val="00335595"/>
    <w:rsid w:val="00341C53"/>
    <w:rsid w:val="00343CA7"/>
    <w:rsid w:val="00344DDC"/>
    <w:rsid w:val="00361231"/>
    <w:rsid w:val="003701DA"/>
    <w:rsid w:val="003807BB"/>
    <w:rsid w:val="0038304D"/>
    <w:rsid w:val="00387DA5"/>
    <w:rsid w:val="00393882"/>
    <w:rsid w:val="00397F57"/>
    <w:rsid w:val="003B0231"/>
    <w:rsid w:val="003B5DD6"/>
    <w:rsid w:val="0040013F"/>
    <w:rsid w:val="00402AA7"/>
    <w:rsid w:val="004065DC"/>
    <w:rsid w:val="00433C52"/>
    <w:rsid w:val="00446CE5"/>
    <w:rsid w:val="0045736C"/>
    <w:rsid w:val="00464AC4"/>
    <w:rsid w:val="00480D67"/>
    <w:rsid w:val="004A36DD"/>
    <w:rsid w:val="004B0591"/>
    <w:rsid w:val="004B1245"/>
    <w:rsid w:val="004B5905"/>
    <w:rsid w:val="004C4E39"/>
    <w:rsid w:val="004C5AE4"/>
    <w:rsid w:val="00505666"/>
    <w:rsid w:val="00515A0B"/>
    <w:rsid w:val="00515C99"/>
    <w:rsid w:val="00522E75"/>
    <w:rsid w:val="0052648A"/>
    <w:rsid w:val="00531159"/>
    <w:rsid w:val="00534292"/>
    <w:rsid w:val="005515EE"/>
    <w:rsid w:val="00555F0B"/>
    <w:rsid w:val="005848D9"/>
    <w:rsid w:val="005A3686"/>
    <w:rsid w:val="005B52A8"/>
    <w:rsid w:val="005E3D55"/>
    <w:rsid w:val="00613023"/>
    <w:rsid w:val="006137A8"/>
    <w:rsid w:val="00657EE1"/>
    <w:rsid w:val="006737B5"/>
    <w:rsid w:val="00674584"/>
    <w:rsid w:val="00687094"/>
    <w:rsid w:val="006A798F"/>
    <w:rsid w:val="006B4700"/>
    <w:rsid w:val="006D7CA3"/>
    <w:rsid w:val="006E1F1A"/>
    <w:rsid w:val="007165DD"/>
    <w:rsid w:val="00717829"/>
    <w:rsid w:val="00723EFA"/>
    <w:rsid w:val="00733F84"/>
    <w:rsid w:val="007346EA"/>
    <w:rsid w:val="007534B0"/>
    <w:rsid w:val="0076108A"/>
    <w:rsid w:val="00765A03"/>
    <w:rsid w:val="007666E6"/>
    <w:rsid w:val="00767B46"/>
    <w:rsid w:val="00783235"/>
    <w:rsid w:val="007B076A"/>
    <w:rsid w:val="007B6522"/>
    <w:rsid w:val="007D0564"/>
    <w:rsid w:val="007E5889"/>
    <w:rsid w:val="007F5832"/>
    <w:rsid w:val="00803AE7"/>
    <w:rsid w:val="008058CB"/>
    <w:rsid w:val="00811685"/>
    <w:rsid w:val="00814631"/>
    <w:rsid w:val="0082354C"/>
    <w:rsid w:val="00823728"/>
    <w:rsid w:val="00827B77"/>
    <w:rsid w:val="00836BBB"/>
    <w:rsid w:val="00855355"/>
    <w:rsid w:val="008722D0"/>
    <w:rsid w:val="0089242B"/>
    <w:rsid w:val="0089248B"/>
    <w:rsid w:val="008944FE"/>
    <w:rsid w:val="008A04CB"/>
    <w:rsid w:val="008B7BD3"/>
    <w:rsid w:val="008C2BFB"/>
    <w:rsid w:val="009040C6"/>
    <w:rsid w:val="009109C0"/>
    <w:rsid w:val="00924BB2"/>
    <w:rsid w:val="00927E2E"/>
    <w:rsid w:val="00933AC5"/>
    <w:rsid w:val="00937BD7"/>
    <w:rsid w:val="0096189A"/>
    <w:rsid w:val="00966927"/>
    <w:rsid w:val="00987157"/>
    <w:rsid w:val="009979C0"/>
    <w:rsid w:val="009A309F"/>
    <w:rsid w:val="009C60A6"/>
    <w:rsid w:val="009D3522"/>
    <w:rsid w:val="00A02578"/>
    <w:rsid w:val="00A215BF"/>
    <w:rsid w:val="00A22339"/>
    <w:rsid w:val="00A4507D"/>
    <w:rsid w:val="00A45A3A"/>
    <w:rsid w:val="00A46E0F"/>
    <w:rsid w:val="00A4705D"/>
    <w:rsid w:val="00A524B9"/>
    <w:rsid w:val="00A53DAD"/>
    <w:rsid w:val="00A570F7"/>
    <w:rsid w:val="00A573BD"/>
    <w:rsid w:val="00A742AE"/>
    <w:rsid w:val="00AA3BF0"/>
    <w:rsid w:val="00AA799D"/>
    <w:rsid w:val="00AD59C6"/>
    <w:rsid w:val="00AE1460"/>
    <w:rsid w:val="00AE7977"/>
    <w:rsid w:val="00B22B45"/>
    <w:rsid w:val="00B40D87"/>
    <w:rsid w:val="00B4542D"/>
    <w:rsid w:val="00B5500E"/>
    <w:rsid w:val="00B814EB"/>
    <w:rsid w:val="00BC399C"/>
    <w:rsid w:val="00BD2890"/>
    <w:rsid w:val="00BE7521"/>
    <w:rsid w:val="00BF26B1"/>
    <w:rsid w:val="00BF70F0"/>
    <w:rsid w:val="00C018EF"/>
    <w:rsid w:val="00C21222"/>
    <w:rsid w:val="00C214B6"/>
    <w:rsid w:val="00C40200"/>
    <w:rsid w:val="00C44DAB"/>
    <w:rsid w:val="00C468F0"/>
    <w:rsid w:val="00C47E65"/>
    <w:rsid w:val="00C51134"/>
    <w:rsid w:val="00C51C9E"/>
    <w:rsid w:val="00C56C36"/>
    <w:rsid w:val="00C70653"/>
    <w:rsid w:val="00C749C3"/>
    <w:rsid w:val="00C934AB"/>
    <w:rsid w:val="00C95483"/>
    <w:rsid w:val="00CA5649"/>
    <w:rsid w:val="00CA6D62"/>
    <w:rsid w:val="00CE505E"/>
    <w:rsid w:val="00CE5693"/>
    <w:rsid w:val="00CE5D0A"/>
    <w:rsid w:val="00CF13A9"/>
    <w:rsid w:val="00CF259D"/>
    <w:rsid w:val="00CF6723"/>
    <w:rsid w:val="00D03AC6"/>
    <w:rsid w:val="00D04083"/>
    <w:rsid w:val="00D124C5"/>
    <w:rsid w:val="00D20516"/>
    <w:rsid w:val="00D27322"/>
    <w:rsid w:val="00D41ACB"/>
    <w:rsid w:val="00D46D34"/>
    <w:rsid w:val="00D525E6"/>
    <w:rsid w:val="00D80250"/>
    <w:rsid w:val="00D9539A"/>
    <w:rsid w:val="00D96542"/>
    <w:rsid w:val="00DB0952"/>
    <w:rsid w:val="00DB10A9"/>
    <w:rsid w:val="00DC5BF2"/>
    <w:rsid w:val="00DD055A"/>
    <w:rsid w:val="00DD228C"/>
    <w:rsid w:val="00DD3EE4"/>
    <w:rsid w:val="00DD5EB0"/>
    <w:rsid w:val="00DF13BC"/>
    <w:rsid w:val="00DF3247"/>
    <w:rsid w:val="00E0545C"/>
    <w:rsid w:val="00E0595F"/>
    <w:rsid w:val="00E10A83"/>
    <w:rsid w:val="00E13511"/>
    <w:rsid w:val="00E14A50"/>
    <w:rsid w:val="00E33951"/>
    <w:rsid w:val="00E35D62"/>
    <w:rsid w:val="00E625B1"/>
    <w:rsid w:val="00E97C20"/>
    <w:rsid w:val="00EA4B94"/>
    <w:rsid w:val="00EB603D"/>
    <w:rsid w:val="00EC30F5"/>
    <w:rsid w:val="00EC552F"/>
    <w:rsid w:val="00ED2446"/>
    <w:rsid w:val="00EF3A58"/>
    <w:rsid w:val="00EF4992"/>
    <w:rsid w:val="00F4720F"/>
    <w:rsid w:val="00F965EE"/>
    <w:rsid w:val="00FA6B95"/>
    <w:rsid w:val="00FA6CAD"/>
    <w:rsid w:val="00FC2AD3"/>
    <w:rsid w:val="00FC3CDA"/>
    <w:rsid w:val="00FC4FE9"/>
    <w:rsid w:val="00FD1161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6960E-6C60-4F99-A0F3-6E87A6F4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1249</Words>
  <Characters>7497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NOTATKA ZE SPOTKANIA</vt:lpstr>
      <vt:lpstr>NOTATKA ZE SPOTKANIA</vt:lpstr>
    </vt:vector>
  </TitlesOfParts>
  <Company>Instytut Pamięci Narodowej</Company>
  <LinksUpToDate>false</LinksUpToDate>
  <CharactersWithSpaces>8729</CharactersWithSpaces>
  <SharedDoc>false</SharedDoc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https://www.gov.pl/web/krmc/formularz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ZE SPOTKANIA</dc:title>
  <dc:subject/>
  <dc:creator>Administrator</dc:creator>
  <cp:keywords/>
  <dc:description/>
  <cp:lastModifiedBy>Jolanta Brzuszkiewicz</cp:lastModifiedBy>
  <cp:revision>4</cp:revision>
  <cp:lastPrinted>2025-03-27T15:04:00Z</cp:lastPrinted>
  <dcterms:created xsi:type="dcterms:W3CDTF">2025-03-28T09:07:00Z</dcterms:created>
  <dcterms:modified xsi:type="dcterms:W3CDTF">2025-03-28T11:04:00Z</dcterms:modified>
</cp:coreProperties>
</file>